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44.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bite-sized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Harney.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Arezzini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Bootcamp.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bananas.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sandwiched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Halloween,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Muertos,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Tucson,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Thanksgiving,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Christmas.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Bootcamp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modifications.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diastasis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modifications,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tutorials,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calendar,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staples.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Saturday,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calendar,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bitlys.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B-I-T.L-Y,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H-I-I-T,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bootcamp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bootcamp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affordable.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affordable.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$29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Arezzini.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Teami.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Israel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Israeli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spontaneous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military,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stomach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Teami.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Israeli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desert.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cuisine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Israel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00:06:51]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insane.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McDonald's.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chemicals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pizza,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metabolize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accumulate,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prebiotics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refresh.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sauerkraut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kefir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refrigerated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concentration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bacteria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Kombucha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kombucha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00:11:30]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kombucha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plastics.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cruelty-free,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preservatives.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hibiscus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hibiscus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EWG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sketchy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intimidated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treadmill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marathon.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vibrance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deadlifting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Saturday,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boutique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smoothie.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scrambled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cottage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accomplished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loose-leaf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formulating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envelopes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inventory.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iPhone.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obstacles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logistics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expanded?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nationwide.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nordstrom.com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Nordstrom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00:24:52]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squiggly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renowned,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sustainable,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insanely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dehydrated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alleviate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appetite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snacky,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dehydrated.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@adiarezzini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 Arezzini: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044adi (Completed  10/15/19)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Oct 17,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"https://www.rev.com/transcript-editor/Edit?token=kZ4M2s2Jr3gGtfINgKhsEIUf9PD3ANDDPDis7UfTFQMj6C7jSGHIy8f_H7LP5hmv6Yo4iKEcitEtYY-4bSGdCgxkwi4&amp;loadFrom=DocumentHeaderDeepLink"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